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6B693" w14:textId="0F7D201A" w:rsidR="00A575E4" w:rsidRDefault="00A575E4" w:rsidP="00A575E4">
      <w:pPr>
        <w:pStyle w:val="a4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inherit" w:hAnsi="inherit"/>
          <w:b/>
          <w:bCs/>
          <w:color w:val="FF0000"/>
          <w:sz w:val="36"/>
          <w:szCs w:val="36"/>
          <w:u w:val="single"/>
          <w:bdr w:val="none" w:sz="0" w:space="0" w:color="auto" w:frame="1"/>
        </w:rPr>
      </w:pPr>
      <w:bookmarkStart w:id="0" w:name="_GoBack"/>
      <w:bookmarkEnd w:id="0"/>
      <w:r w:rsidRPr="00BE58F4">
        <w:rPr>
          <w:rFonts w:ascii="inherit" w:hAnsi="inherit"/>
          <w:b/>
          <w:bCs/>
          <w:color w:val="FF0000"/>
          <w:sz w:val="36"/>
          <w:szCs w:val="36"/>
          <w:u w:val="single"/>
          <w:bdr w:val="none" w:sz="0" w:space="0" w:color="auto" w:frame="1"/>
        </w:rPr>
        <w:t xml:space="preserve">Государственное учреждение Министерства труда и социальной защиты «Республиканский реабилитационный центр для детей-инвалидов» </w:t>
      </w:r>
    </w:p>
    <w:p w14:paraId="4E453121" w14:textId="470660C2" w:rsidR="006F31ED" w:rsidRPr="006F31ED" w:rsidRDefault="006F31ED" w:rsidP="00A575E4">
      <w:pPr>
        <w:pStyle w:val="a4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inherit" w:hAnsi="inherit"/>
          <w:b/>
          <w:bCs/>
          <w:color w:val="0070C0"/>
          <w:sz w:val="36"/>
          <w:szCs w:val="36"/>
          <w:u w:val="single"/>
          <w:bdr w:val="none" w:sz="0" w:space="0" w:color="auto" w:frame="1"/>
        </w:rPr>
      </w:pPr>
      <w:r w:rsidRPr="006F31ED">
        <w:rPr>
          <w:rFonts w:ascii="inherit" w:hAnsi="inherit"/>
          <w:b/>
          <w:bCs/>
          <w:color w:val="0070C0"/>
          <w:sz w:val="36"/>
          <w:szCs w:val="36"/>
          <w:u w:val="single"/>
          <w:bdr w:val="none" w:sz="0" w:space="0" w:color="auto" w:frame="1"/>
        </w:rPr>
        <w:t>г. Минск, ул. Севастопольская, 56. </w:t>
      </w:r>
      <w:hyperlink r:id="rId7" w:history="1">
        <w:r w:rsidRPr="006F31ED">
          <w:rPr>
            <w:rStyle w:val="a3"/>
            <w:rFonts w:ascii="inherit" w:hAnsi="inherit"/>
            <w:b/>
            <w:bCs/>
            <w:color w:val="0070C0"/>
            <w:sz w:val="36"/>
            <w:szCs w:val="36"/>
            <w:bdr w:val="none" w:sz="0" w:space="0" w:color="auto" w:frame="1"/>
          </w:rPr>
          <w:t>+375 17 374 58 17</w:t>
        </w:r>
      </w:hyperlink>
    </w:p>
    <w:p w14:paraId="4D1C02B3" w14:textId="77777777" w:rsidR="00A575E4" w:rsidRPr="00BE58F4" w:rsidRDefault="00A575E4" w:rsidP="00A575E4">
      <w:pPr>
        <w:pStyle w:val="a4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inherit" w:hAnsi="inherit"/>
          <w:b/>
          <w:bCs/>
          <w:color w:val="8081BD"/>
          <w:sz w:val="36"/>
          <w:szCs w:val="36"/>
          <w:bdr w:val="none" w:sz="0" w:space="0" w:color="auto" w:frame="1"/>
        </w:rPr>
      </w:pPr>
      <w:r w:rsidRPr="00BE58F4">
        <w:rPr>
          <w:rFonts w:ascii="inherit" w:hAnsi="inherit"/>
          <w:b/>
          <w:bCs/>
          <w:color w:val="8081BD"/>
          <w:sz w:val="36"/>
          <w:szCs w:val="36"/>
          <w:bdr w:val="none" w:sz="0" w:space="0" w:color="auto" w:frame="1"/>
        </w:rPr>
        <w:t xml:space="preserve"> В Центре осуществляется комплексная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аппарата. </w:t>
      </w:r>
    </w:p>
    <w:p w14:paraId="6D6405C3" w14:textId="77777777" w:rsidR="00BE58F4" w:rsidRDefault="00BE58F4" w:rsidP="00A575E4">
      <w:pPr>
        <w:shd w:val="clear" w:color="auto" w:fill="FFFFFF"/>
        <w:spacing w:after="0" w:line="432" w:lineRule="atLeast"/>
        <w:textAlignment w:val="baseline"/>
        <w:outlineLvl w:val="1"/>
        <w:rPr>
          <w:rFonts w:ascii="inherit" w:eastAsia="Times New Roman" w:hAnsi="inherit" w:cs="Times New Roman"/>
          <w:b/>
          <w:bCs/>
          <w:color w:val="8081BD"/>
          <w:sz w:val="36"/>
          <w:szCs w:val="36"/>
          <w:bdr w:val="none" w:sz="0" w:space="0" w:color="auto" w:frame="1"/>
          <w:lang w:eastAsia="ru-RU"/>
        </w:rPr>
      </w:pPr>
    </w:p>
    <w:p w14:paraId="19AC220B" w14:textId="5924A1E7" w:rsidR="00A575E4" w:rsidRPr="00A575E4" w:rsidRDefault="00A575E4" w:rsidP="00A575E4">
      <w:pPr>
        <w:shd w:val="clear" w:color="auto" w:fill="FFFFFF"/>
        <w:spacing w:after="0" w:line="432" w:lineRule="atLeast"/>
        <w:textAlignment w:val="baseline"/>
        <w:outlineLvl w:val="1"/>
        <w:rPr>
          <w:rFonts w:ascii="Montserrat" w:eastAsia="Times New Roman" w:hAnsi="Montserrat" w:cs="Times New Roman"/>
          <w:b/>
          <w:bCs/>
          <w:color w:val="8081BD"/>
          <w:sz w:val="36"/>
          <w:szCs w:val="36"/>
          <w:lang w:eastAsia="ru-RU"/>
        </w:rPr>
      </w:pPr>
      <w:r w:rsidRPr="00A575E4">
        <w:rPr>
          <w:rFonts w:ascii="inherit" w:eastAsia="Times New Roman" w:hAnsi="inherit" w:cs="Times New Roman"/>
          <w:b/>
          <w:bCs/>
          <w:color w:val="8081BD"/>
          <w:sz w:val="36"/>
          <w:szCs w:val="36"/>
          <w:bdr w:val="none" w:sz="0" w:space="0" w:color="auto" w:frame="1"/>
          <w:lang w:eastAsia="ru-RU"/>
        </w:rPr>
        <w:t>ПОКАЗАНИЯ ДЛЯ РЕАБИЛИТАЦИИ В ЦЕНТРЕ</w:t>
      </w:r>
    </w:p>
    <w:p w14:paraId="7BA2BB7C" w14:textId="2A505BBA" w:rsidR="00A575E4" w:rsidRPr="00A575E4" w:rsidRDefault="00D50439" w:rsidP="00A575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4155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="00A575E4" w:rsidRPr="00A575E4">
        <w:rPr>
          <w:rFonts w:ascii="Times New Roman" w:eastAsia="Times New Roman" w:hAnsi="Times New Roman" w:cs="Times New Roman"/>
          <w:i/>
          <w:iCs/>
          <w:color w:val="334155"/>
          <w:sz w:val="24"/>
          <w:szCs w:val="24"/>
          <w:bdr w:val="none" w:sz="0" w:space="0" w:color="auto" w:frame="1"/>
          <w:lang w:eastAsia="ru-RU"/>
        </w:rPr>
        <w:t>В Центре проходят реабилитацию дети с нарушениями опорно-двигательного аппарата, которые вызваны неврологической и ортопедической патологией.</w:t>
      </w:r>
    </w:p>
    <w:p w14:paraId="240DF3AA" w14:textId="22D0E09A" w:rsidR="00BE58F4" w:rsidRDefault="00BE58F4" w:rsidP="00A575E4">
      <w:pPr>
        <w:shd w:val="clear" w:color="auto" w:fill="FFFFFF"/>
        <w:spacing w:after="0" w:line="396" w:lineRule="atLeast"/>
        <w:textAlignment w:val="baseline"/>
        <w:outlineLvl w:val="2"/>
        <w:rPr>
          <w:rFonts w:ascii="inherit" w:eastAsia="Times New Roman" w:hAnsi="inherit" w:cs="Times New Roman"/>
          <w:b/>
          <w:bCs/>
          <w:color w:val="8081BD"/>
          <w:sz w:val="33"/>
          <w:szCs w:val="33"/>
          <w:bdr w:val="none" w:sz="0" w:space="0" w:color="auto" w:frame="1"/>
          <w:lang w:eastAsia="ru-RU"/>
        </w:rPr>
      </w:pPr>
    </w:p>
    <w:p w14:paraId="2CFF8CCB" w14:textId="28D23A29" w:rsidR="00A575E4" w:rsidRPr="00A575E4" w:rsidRDefault="00A575E4" w:rsidP="00A575E4">
      <w:pPr>
        <w:shd w:val="clear" w:color="auto" w:fill="FFFFFF"/>
        <w:spacing w:after="0" w:line="396" w:lineRule="atLeast"/>
        <w:textAlignment w:val="baseline"/>
        <w:outlineLvl w:val="2"/>
        <w:rPr>
          <w:rFonts w:ascii="Montserrat" w:eastAsia="Times New Roman" w:hAnsi="Montserrat" w:cs="Times New Roman"/>
          <w:b/>
          <w:bCs/>
          <w:color w:val="8081BD"/>
          <w:sz w:val="33"/>
          <w:szCs w:val="33"/>
          <w:lang w:eastAsia="ru-RU"/>
        </w:rPr>
      </w:pPr>
      <w:r w:rsidRPr="00A575E4">
        <w:rPr>
          <w:rFonts w:ascii="inherit" w:eastAsia="Times New Roman" w:hAnsi="inherit" w:cs="Times New Roman"/>
          <w:b/>
          <w:bCs/>
          <w:color w:val="8081BD"/>
          <w:sz w:val="33"/>
          <w:szCs w:val="33"/>
          <w:bdr w:val="none" w:sz="0" w:space="0" w:color="auto" w:frame="1"/>
          <w:lang w:eastAsia="ru-RU"/>
        </w:rPr>
        <w:t>ЗАБОЛЕВАНИЯ НЕРВНОЙ СИСТЕМЫ </w:t>
      </w:r>
    </w:p>
    <w:p w14:paraId="62C90E40" w14:textId="77777777" w:rsidR="00A575E4" w:rsidRPr="00A575E4" w:rsidRDefault="00A575E4" w:rsidP="00A575E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</w:pPr>
      <w:r w:rsidRPr="00A575E4"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  <w:t>Детский церебральный паралич различных форм и степеней тяжести.</w:t>
      </w:r>
    </w:p>
    <w:p w14:paraId="5634AA87" w14:textId="77777777" w:rsidR="00A575E4" w:rsidRPr="00A575E4" w:rsidRDefault="00A575E4" w:rsidP="00A575E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</w:pPr>
      <w:r w:rsidRPr="00A575E4"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  <w:t>Стойкие двигательные нарушения в виде парезов (параличей) различной степени тяжести вследствие:</w:t>
      </w:r>
    </w:p>
    <w:p w14:paraId="3D7EF1DB" w14:textId="77777777" w:rsidR="00A575E4" w:rsidRPr="00A575E4" w:rsidRDefault="00A575E4" w:rsidP="00A575E4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</w:pPr>
      <w:r w:rsidRPr="00A575E4"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  <w:t>травмы спинного мозга (в том числе в поздний восстановительный период после хирургического лечения);</w:t>
      </w:r>
    </w:p>
    <w:p w14:paraId="4A113F37" w14:textId="77777777" w:rsidR="00A575E4" w:rsidRPr="00A575E4" w:rsidRDefault="00A575E4" w:rsidP="00A575E4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</w:pPr>
      <w:r w:rsidRPr="00A575E4"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  <w:t>последствия травм нервных корешков и сплетений (в том числе и родовых травм) плечевого  и тазового поясов;</w:t>
      </w:r>
    </w:p>
    <w:p w14:paraId="12B306F6" w14:textId="77777777" w:rsidR="00A575E4" w:rsidRPr="00A575E4" w:rsidRDefault="00A575E4" w:rsidP="00A575E4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</w:pPr>
      <w:r w:rsidRPr="00A575E4"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  <w:t>последствия черепно-мозговой травмы;</w:t>
      </w:r>
    </w:p>
    <w:p w14:paraId="791EC702" w14:textId="77777777" w:rsidR="00A575E4" w:rsidRPr="00A575E4" w:rsidRDefault="00A575E4" w:rsidP="00A575E4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</w:pPr>
      <w:r w:rsidRPr="00A575E4"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  <w:t>врожденных аномалий нервной системы;</w:t>
      </w:r>
    </w:p>
    <w:p w14:paraId="2CC5880C" w14:textId="77777777" w:rsidR="00A575E4" w:rsidRPr="00A575E4" w:rsidRDefault="00A575E4" w:rsidP="00A575E4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</w:pPr>
      <w:r w:rsidRPr="00A575E4"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  <w:t>цереброваскулярных нарушений (инсульты);</w:t>
      </w:r>
    </w:p>
    <w:p w14:paraId="3100F2A0" w14:textId="77777777" w:rsidR="00A575E4" w:rsidRPr="00A575E4" w:rsidRDefault="00A575E4" w:rsidP="00A575E4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</w:pPr>
      <w:r w:rsidRPr="00A575E4"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  <w:t>перенесенных нейроинфекций;</w:t>
      </w:r>
    </w:p>
    <w:p w14:paraId="0C68BBCB" w14:textId="77777777" w:rsidR="00A575E4" w:rsidRPr="00A575E4" w:rsidRDefault="00A575E4" w:rsidP="00A575E4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</w:pPr>
      <w:r w:rsidRPr="00A575E4"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  <w:t>травматических, токсических, метаболических поли- и мононейропатий.</w:t>
      </w:r>
    </w:p>
    <w:p w14:paraId="28F92228" w14:textId="77777777" w:rsidR="00A575E4" w:rsidRPr="00A575E4" w:rsidRDefault="00A575E4" w:rsidP="00A575E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</w:pPr>
      <w:r w:rsidRPr="00A575E4"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  <w:t>Наследственные заболевания нервной системы, в том числе прогрессирующие нейро-мышечные заболевания в стадии компенсации без тяжелых нарушений со стороны сердечно-сосудистой и дыхательной систем.</w:t>
      </w:r>
    </w:p>
    <w:p w14:paraId="78A00FFA" w14:textId="77777777" w:rsidR="00A575E4" w:rsidRPr="00A575E4" w:rsidRDefault="00A575E4" w:rsidP="00A575E4">
      <w:pPr>
        <w:shd w:val="clear" w:color="auto" w:fill="FFFFFF"/>
        <w:spacing w:after="0" w:line="396" w:lineRule="atLeast"/>
        <w:textAlignment w:val="baseline"/>
        <w:outlineLvl w:val="2"/>
        <w:rPr>
          <w:rFonts w:ascii="Montserrat" w:eastAsia="Times New Roman" w:hAnsi="Montserrat" w:cs="Times New Roman"/>
          <w:b/>
          <w:bCs/>
          <w:color w:val="8081BD"/>
          <w:sz w:val="33"/>
          <w:szCs w:val="33"/>
          <w:lang w:eastAsia="ru-RU"/>
        </w:rPr>
      </w:pPr>
      <w:r w:rsidRPr="00A575E4">
        <w:rPr>
          <w:rFonts w:ascii="inherit" w:eastAsia="Times New Roman" w:hAnsi="inherit" w:cs="Times New Roman"/>
          <w:b/>
          <w:bCs/>
          <w:color w:val="8081BD"/>
          <w:sz w:val="33"/>
          <w:szCs w:val="33"/>
          <w:bdr w:val="none" w:sz="0" w:space="0" w:color="auto" w:frame="1"/>
          <w:lang w:eastAsia="ru-RU"/>
        </w:rPr>
        <w:t>ОРТОПЕДИЧЕСКАЯ   ПАТОЛОГИЯ</w:t>
      </w:r>
    </w:p>
    <w:p w14:paraId="2F91D38C" w14:textId="77777777" w:rsidR="00A575E4" w:rsidRPr="00A575E4" w:rsidRDefault="00A575E4" w:rsidP="00A575E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</w:pPr>
      <w:r w:rsidRPr="00A575E4"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  <w:t>Врожденные аномалии и деформации костно-мышечной системы.</w:t>
      </w:r>
    </w:p>
    <w:p w14:paraId="086D60BA" w14:textId="77777777" w:rsidR="00A575E4" w:rsidRPr="00A575E4" w:rsidRDefault="00A575E4" w:rsidP="00A575E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</w:pPr>
      <w:r w:rsidRPr="00A575E4"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  <w:t>Приобретенные деформации костно-мышечной системы вследствие травм, оперативных вмешательств.</w:t>
      </w:r>
    </w:p>
    <w:p w14:paraId="67248241" w14:textId="77777777" w:rsidR="00A575E4" w:rsidRPr="00A575E4" w:rsidRDefault="00A575E4" w:rsidP="00A575E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</w:pPr>
      <w:r w:rsidRPr="00A575E4"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  <w:t>Дисплазия, врожденный вывих бедра, юношеский остеохондроз головки бедренной кости (болезнь Пертеса).</w:t>
      </w:r>
    </w:p>
    <w:p w14:paraId="7EA5EAC6" w14:textId="77777777" w:rsidR="00A575E4" w:rsidRPr="00A575E4" w:rsidRDefault="00A575E4" w:rsidP="00A575E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</w:pPr>
      <w:r w:rsidRPr="00A575E4"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  <w:t>Тяжелые формы сколиоза.</w:t>
      </w:r>
    </w:p>
    <w:p w14:paraId="79737239" w14:textId="3B05120E" w:rsidR="006C1967" w:rsidRDefault="006C1967"/>
    <w:p w14:paraId="5898DE7F" w14:textId="77777777" w:rsidR="00A575E4" w:rsidRPr="00A575E4" w:rsidRDefault="00A575E4" w:rsidP="00A575E4">
      <w:pPr>
        <w:shd w:val="clear" w:color="auto" w:fill="FFFFFF"/>
        <w:spacing w:after="0" w:line="432" w:lineRule="atLeast"/>
        <w:textAlignment w:val="baseline"/>
        <w:outlineLvl w:val="1"/>
        <w:rPr>
          <w:rFonts w:ascii="Montserrat" w:eastAsia="Times New Roman" w:hAnsi="Montserrat" w:cs="Times New Roman"/>
          <w:b/>
          <w:bCs/>
          <w:color w:val="8081BD"/>
          <w:sz w:val="36"/>
          <w:szCs w:val="36"/>
          <w:lang w:eastAsia="ru-RU"/>
        </w:rPr>
      </w:pPr>
      <w:r w:rsidRPr="00A575E4">
        <w:rPr>
          <w:rFonts w:ascii="inherit" w:eastAsia="Times New Roman" w:hAnsi="inherit" w:cs="Times New Roman"/>
          <w:b/>
          <w:bCs/>
          <w:color w:val="8081BD"/>
          <w:sz w:val="36"/>
          <w:szCs w:val="36"/>
          <w:bdr w:val="none" w:sz="0" w:space="0" w:color="auto" w:frame="1"/>
          <w:lang w:eastAsia="ru-RU"/>
        </w:rPr>
        <w:lastRenderedPageBreak/>
        <w:t>ОБЩИЕ ПРОТИВОПОКАЗАНИЯ ДЛЯ ПРОВЕДЕНИЯ РЕАБИЛИТАЦИИ</w:t>
      </w:r>
    </w:p>
    <w:p w14:paraId="7B9C8DD1" w14:textId="77777777" w:rsidR="00A575E4" w:rsidRPr="00A575E4" w:rsidRDefault="00A575E4" w:rsidP="00A575E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</w:pPr>
      <w:r w:rsidRPr="00A575E4"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  <w:t>Острые, в том числе инфекционные, заболевания до выздоровления (реабилитация возможна спустя 2 недели после полного выздоровления).</w:t>
      </w:r>
    </w:p>
    <w:p w14:paraId="3FF98968" w14:textId="77777777" w:rsidR="00A575E4" w:rsidRPr="00A575E4" w:rsidRDefault="00A575E4" w:rsidP="00A575E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</w:pPr>
      <w:r w:rsidRPr="00A575E4"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  <w:t>Хронические заболевания в стадии субкомпенсации и декомпенсации.</w:t>
      </w:r>
    </w:p>
    <w:p w14:paraId="631925A2" w14:textId="77777777" w:rsidR="00A575E4" w:rsidRPr="00A575E4" w:rsidRDefault="00A575E4" w:rsidP="00A575E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</w:pPr>
      <w:r w:rsidRPr="00A575E4"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  <w:t>Эпилепсия с частыми судорожными приступами (реабилитация возможна спустя 6 месяцев от последнего приступа судорог, с подобранным противосудорожным лечением).</w:t>
      </w:r>
    </w:p>
    <w:p w14:paraId="56C5A34C" w14:textId="77777777" w:rsidR="00A575E4" w:rsidRPr="00A575E4" w:rsidRDefault="00A575E4" w:rsidP="00A575E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</w:pPr>
      <w:r w:rsidRPr="00A575E4"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  <w:t>Прогрессирующие и наследственные заболевания в стадии декомпенсации и субкомпенсации, требующие специального лечения.</w:t>
      </w:r>
    </w:p>
    <w:p w14:paraId="77168694" w14:textId="77777777" w:rsidR="00A575E4" w:rsidRPr="00A575E4" w:rsidRDefault="00A575E4" w:rsidP="00A575E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</w:pPr>
      <w:r w:rsidRPr="00A575E4"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  <w:t>Активная стадия туберкулеза.</w:t>
      </w:r>
    </w:p>
    <w:p w14:paraId="3635D227" w14:textId="77777777" w:rsidR="00A575E4" w:rsidRPr="00A575E4" w:rsidRDefault="00A575E4" w:rsidP="00A575E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</w:pPr>
      <w:r w:rsidRPr="00A575E4"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  <w:t>Злокачественные новообразования всех локализаций и болезни крови в стадии обострения (реабилитация возможна спустя шесть месяцев от начала стойкой ремиссии, с рекомендациями от онколога).</w:t>
      </w:r>
    </w:p>
    <w:p w14:paraId="49CBFBB5" w14:textId="77777777" w:rsidR="00A575E4" w:rsidRPr="00A575E4" w:rsidRDefault="00A575E4" w:rsidP="00A575E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</w:pPr>
      <w:r w:rsidRPr="00A575E4"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  <w:t>Контагиозные кожные заболевания.</w:t>
      </w:r>
    </w:p>
    <w:p w14:paraId="31842AEB" w14:textId="77777777" w:rsidR="00A575E4" w:rsidRPr="00A575E4" w:rsidRDefault="00A575E4" w:rsidP="00A575E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</w:pPr>
      <w:r w:rsidRPr="00A575E4">
        <w:rPr>
          <w:rFonts w:ascii="inherit" w:eastAsia="Times New Roman" w:hAnsi="inherit" w:cs="Times New Roman"/>
          <w:color w:val="334155"/>
          <w:sz w:val="24"/>
          <w:szCs w:val="24"/>
          <w:lang w:eastAsia="ru-RU"/>
        </w:rPr>
        <w:t>Психические заболевания, с выраженными расстройствами в поведении угрожающие жизни и здоровью окружающих.</w:t>
      </w:r>
    </w:p>
    <w:p w14:paraId="51DCC966" w14:textId="12EEC552" w:rsidR="00A575E4" w:rsidRDefault="00A575E4"/>
    <w:p w14:paraId="2A5D4706" w14:textId="77777777" w:rsidR="00A575E4" w:rsidRPr="00A575E4" w:rsidRDefault="00A575E4" w:rsidP="00A575E4">
      <w:pPr>
        <w:shd w:val="clear" w:color="auto" w:fill="FFFFFF"/>
        <w:spacing w:after="0" w:line="240" w:lineRule="auto"/>
        <w:textAlignment w:val="baseline"/>
        <w:outlineLvl w:val="2"/>
        <w:rPr>
          <w:rFonts w:ascii="Montserrat" w:eastAsia="Times New Roman" w:hAnsi="Montserrat" w:cs="Times New Roman"/>
          <w:b/>
          <w:bCs/>
          <w:color w:val="8081BD"/>
          <w:sz w:val="33"/>
          <w:szCs w:val="33"/>
          <w:lang w:eastAsia="ru-RU"/>
        </w:rPr>
      </w:pPr>
      <w:r w:rsidRPr="00A575E4">
        <w:rPr>
          <w:rFonts w:ascii="Montserrat" w:eastAsia="Times New Roman" w:hAnsi="Montserrat" w:cs="Times New Roman"/>
          <w:b/>
          <w:bCs/>
          <w:color w:val="8081BD"/>
          <w:sz w:val="33"/>
          <w:szCs w:val="33"/>
          <w:lang w:eastAsia="ru-RU"/>
        </w:rPr>
        <w:t>Документы для рассмотрения возможности прохождения реабилитации</w:t>
      </w:r>
    </w:p>
    <w:p w14:paraId="1ABEA393" w14:textId="77777777" w:rsidR="00A575E4" w:rsidRDefault="00A575E4" w:rsidP="00A575E4">
      <w:pPr>
        <w:pStyle w:val="font8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4155"/>
        </w:rPr>
      </w:pPr>
      <w:r>
        <w:rPr>
          <w:rFonts w:ascii="inherit" w:hAnsi="inherit"/>
          <w:color w:val="334155"/>
        </w:rPr>
        <w:t>Выписка из амбулаторной карты для решения вопроса о возможности реабилитации в центре для детей-инвалидов.</w:t>
      </w:r>
    </w:p>
    <w:p w14:paraId="1E95FAF2" w14:textId="77777777" w:rsidR="00A575E4" w:rsidRDefault="00A575E4" w:rsidP="00A575E4">
      <w:pPr>
        <w:pStyle w:val="font8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4155"/>
        </w:rPr>
      </w:pPr>
      <w:r>
        <w:rPr>
          <w:rFonts w:ascii="inherit" w:hAnsi="inherit"/>
          <w:color w:val="334155"/>
        </w:rPr>
        <w:t>Заключение Центра коррекционно-развивающего обучения и реабилитации.</w:t>
      </w:r>
    </w:p>
    <w:p w14:paraId="219480F9" w14:textId="77777777" w:rsidR="00BE58F4" w:rsidRDefault="00BE58F4" w:rsidP="00A575E4">
      <w:pPr>
        <w:shd w:val="clear" w:color="auto" w:fill="FFFFFF"/>
        <w:spacing w:after="0" w:line="240" w:lineRule="auto"/>
        <w:textAlignment w:val="baseline"/>
        <w:outlineLvl w:val="2"/>
        <w:rPr>
          <w:rFonts w:ascii="Montserrat" w:eastAsia="Times New Roman" w:hAnsi="Montserrat" w:cs="Times New Roman"/>
          <w:b/>
          <w:bCs/>
          <w:color w:val="8081BD"/>
          <w:sz w:val="33"/>
          <w:szCs w:val="33"/>
          <w:lang w:eastAsia="ru-RU"/>
        </w:rPr>
      </w:pPr>
    </w:p>
    <w:p w14:paraId="2BC511CF" w14:textId="5C7F7ABD" w:rsidR="00A575E4" w:rsidRDefault="00A575E4" w:rsidP="00A575E4">
      <w:pPr>
        <w:shd w:val="clear" w:color="auto" w:fill="FFFFFF"/>
        <w:spacing w:after="0" w:line="240" w:lineRule="auto"/>
        <w:textAlignment w:val="baseline"/>
        <w:outlineLvl w:val="2"/>
        <w:rPr>
          <w:rFonts w:ascii="Montserrat" w:eastAsia="Times New Roman" w:hAnsi="Montserrat" w:cs="Times New Roman"/>
          <w:b/>
          <w:bCs/>
          <w:color w:val="8081BD"/>
          <w:sz w:val="33"/>
          <w:szCs w:val="33"/>
          <w:lang w:eastAsia="ru-RU"/>
        </w:rPr>
      </w:pPr>
      <w:r w:rsidRPr="00A575E4">
        <w:rPr>
          <w:rFonts w:ascii="Montserrat" w:eastAsia="Times New Roman" w:hAnsi="Montserrat" w:cs="Times New Roman"/>
          <w:b/>
          <w:bCs/>
          <w:color w:val="8081BD"/>
          <w:sz w:val="33"/>
          <w:szCs w:val="33"/>
          <w:lang w:eastAsia="ru-RU"/>
        </w:rPr>
        <w:t>Документы при поступлении в центр</w:t>
      </w:r>
    </w:p>
    <w:p w14:paraId="29D3B318" w14:textId="77777777" w:rsidR="00A575E4" w:rsidRDefault="00A575E4" w:rsidP="00A575E4">
      <w:pPr>
        <w:pStyle w:val="font8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4155"/>
        </w:rPr>
      </w:pPr>
      <w:r>
        <w:rPr>
          <w:rFonts w:ascii="inherit" w:hAnsi="inherit"/>
          <w:color w:val="334155"/>
        </w:rPr>
        <w:t>Выписку из амбулаторной карты (</w:t>
      </w:r>
      <w:hyperlink r:id="rId8" w:tgtFrame="_blank" w:history="1">
        <w:r>
          <w:rPr>
            <w:rStyle w:val="a3"/>
            <w:rFonts w:ascii="inherit" w:hAnsi="inherit"/>
            <w:color w:val="334155"/>
            <w:bdr w:val="none" w:sz="0" w:space="0" w:color="auto" w:frame="1"/>
          </w:rPr>
          <w:t>выписка</w:t>
        </w:r>
      </w:hyperlink>
      <w:r>
        <w:rPr>
          <w:rFonts w:ascii="inherit" w:hAnsi="inherit"/>
          <w:color w:val="334155"/>
        </w:rPr>
        <w:t>).</w:t>
      </w:r>
    </w:p>
    <w:p w14:paraId="398A742A" w14:textId="77777777" w:rsidR="00A575E4" w:rsidRDefault="00A575E4" w:rsidP="00A575E4">
      <w:pPr>
        <w:pStyle w:val="font8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4155"/>
        </w:rPr>
      </w:pPr>
      <w:r>
        <w:rPr>
          <w:rFonts w:ascii="inherit" w:hAnsi="inherit"/>
          <w:color w:val="334155"/>
        </w:rPr>
        <w:t>Заключение Центра коррекционно-развивающего обучения и реабилитации (или его копию) (</w:t>
      </w:r>
      <w:hyperlink r:id="rId9" w:tgtFrame="_blank" w:history="1">
        <w:r>
          <w:rPr>
            <w:rStyle w:val="a3"/>
            <w:rFonts w:ascii="inherit" w:hAnsi="inherit"/>
            <w:color w:val="334155"/>
            <w:bdr w:val="none" w:sz="0" w:space="0" w:color="auto" w:frame="1"/>
          </w:rPr>
          <w:t>заключение</w:t>
        </w:r>
      </w:hyperlink>
      <w:r>
        <w:rPr>
          <w:rFonts w:ascii="inherit" w:hAnsi="inherit"/>
          <w:color w:val="334155"/>
        </w:rPr>
        <w:t>).</w:t>
      </w:r>
    </w:p>
    <w:p w14:paraId="0F973DF0" w14:textId="77777777" w:rsidR="00A575E4" w:rsidRDefault="00A575E4" w:rsidP="00A575E4">
      <w:pPr>
        <w:pStyle w:val="font8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4155"/>
        </w:rPr>
      </w:pPr>
      <w:r>
        <w:rPr>
          <w:rFonts w:ascii="inherit" w:hAnsi="inherit"/>
          <w:color w:val="334155"/>
        </w:rPr>
        <w:t>Справку для сопровождающего, который будет находиться с ребенком в период прохождения курса реабилитации (</w:t>
      </w:r>
      <w:hyperlink r:id="rId10" w:tgtFrame="_blank" w:history="1">
        <w:r>
          <w:rPr>
            <w:rStyle w:val="a3"/>
            <w:rFonts w:ascii="inherit" w:hAnsi="inherit"/>
            <w:color w:val="334155"/>
            <w:bdr w:val="none" w:sz="0" w:space="0" w:color="auto" w:frame="1"/>
          </w:rPr>
          <w:t>справка</w:t>
        </w:r>
      </w:hyperlink>
      <w:r>
        <w:rPr>
          <w:rFonts w:ascii="inherit" w:hAnsi="inherit"/>
          <w:color w:val="334155"/>
        </w:rPr>
        <w:t>).</w:t>
      </w:r>
    </w:p>
    <w:p w14:paraId="382FC906" w14:textId="77777777" w:rsidR="00A575E4" w:rsidRDefault="00A575E4" w:rsidP="00A575E4">
      <w:pPr>
        <w:pStyle w:val="font8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4155"/>
        </w:rPr>
      </w:pPr>
      <w:r>
        <w:rPr>
          <w:rFonts w:ascii="inherit" w:hAnsi="inherit"/>
          <w:color w:val="334155"/>
        </w:rPr>
        <w:t>Справку из школы с указанием класса и формы обучения, медицинской группы занятий по физкультуре (выдается в школе по месту жительства).</w:t>
      </w:r>
    </w:p>
    <w:p w14:paraId="1C3FC4CC" w14:textId="77777777" w:rsidR="00A575E4" w:rsidRDefault="00A575E4" w:rsidP="00A575E4">
      <w:pPr>
        <w:pStyle w:val="font8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4155"/>
        </w:rPr>
      </w:pPr>
      <w:r>
        <w:rPr>
          <w:rFonts w:ascii="inherit" w:hAnsi="inherit"/>
          <w:color w:val="334155"/>
        </w:rPr>
        <w:t>Ксерокопия удостоверения ребенка-инвалида.</w:t>
      </w:r>
    </w:p>
    <w:p w14:paraId="556D82E0" w14:textId="77777777" w:rsidR="00A575E4" w:rsidRDefault="00A575E4" w:rsidP="00A575E4">
      <w:pPr>
        <w:pStyle w:val="font8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4155"/>
        </w:rPr>
      </w:pPr>
      <w:r>
        <w:rPr>
          <w:rFonts w:ascii="inherit" w:hAnsi="inherit"/>
          <w:color w:val="334155"/>
        </w:rPr>
        <w:t>Рентгенограммы (при ортопедической патологии).</w:t>
      </w:r>
    </w:p>
    <w:p w14:paraId="6542B120" w14:textId="77777777" w:rsidR="00A575E4" w:rsidRDefault="00A575E4" w:rsidP="00A575E4">
      <w:pPr>
        <w:pStyle w:val="font8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4155"/>
        </w:rPr>
      </w:pPr>
      <w:r>
        <w:rPr>
          <w:rFonts w:ascii="inherit" w:hAnsi="inherit"/>
          <w:color w:val="334155"/>
        </w:rPr>
        <w:t>Справка об отсутствии контакта с инфекционными больными (действительна 3 дня) (выдается в поликлинике по месту жительства).</w:t>
      </w:r>
    </w:p>
    <w:p w14:paraId="4A920C17" w14:textId="77777777" w:rsidR="00A575E4" w:rsidRDefault="00A575E4" w:rsidP="00A575E4">
      <w:pPr>
        <w:pStyle w:val="font8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4155"/>
        </w:rPr>
      </w:pPr>
      <w:r>
        <w:rPr>
          <w:rFonts w:ascii="inherit" w:hAnsi="inherit"/>
          <w:color w:val="334155"/>
        </w:rPr>
        <w:t>Справка об отсутствии кожных и инфекционных заболеваний (выдается в поликлинике по месту жительства).</w:t>
      </w:r>
    </w:p>
    <w:p w14:paraId="5FE6A4AC" w14:textId="77777777" w:rsidR="00A575E4" w:rsidRDefault="00A575E4" w:rsidP="00A575E4">
      <w:pPr>
        <w:pStyle w:val="font8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4155"/>
        </w:rPr>
      </w:pPr>
      <w:r>
        <w:rPr>
          <w:rFonts w:ascii="inherit" w:hAnsi="inherit"/>
          <w:color w:val="334155"/>
        </w:rPr>
        <w:t>При наличии за последние 12 месяцев судорог необходима электроэнцефалограмма с заключением, сроком давности не более 3-х месяцев.</w:t>
      </w:r>
    </w:p>
    <w:p w14:paraId="2E483DEA" w14:textId="77777777" w:rsidR="00A575E4" w:rsidRDefault="00A575E4" w:rsidP="00A575E4">
      <w:pPr>
        <w:pStyle w:val="font8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4155"/>
        </w:rPr>
      </w:pPr>
      <w:r>
        <w:rPr>
          <w:rFonts w:ascii="inherit" w:hAnsi="inherit"/>
          <w:color w:val="334155"/>
        </w:rPr>
        <w:t>При совместном пребывании с ребенком одного из родителей (в т.ч. дневной стационар), сопровождающему лицу необходимо предоставить флюорографию, анализ на энтеробиоз, справку об отсутствии венерических заболеваний (выдается в поликлинике по месту жительства).</w:t>
      </w:r>
    </w:p>
    <w:p w14:paraId="13AAE388" w14:textId="4C5E22AA" w:rsidR="00A575E4" w:rsidRDefault="00A575E4"/>
    <w:p w14:paraId="166A93AD" w14:textId="54C84470" w:rsidR="00A575E4" w:rsidRDefault="00BE58F4">
      <w:r w:rsidRPr="00BE58F4">
        <w:rPr>
          <w:sz w:val="32"/>
          <w:szCs w:val="32"/>
        </w:rPr>
        <w:t xml:space="preserve">Справки по телефонам: +375 17 373 60 86, </w:t>
      </w:r>
      <w:r>
        <w:rPr>
          <w:sz w:val="32"/>
          <w:szCs w:val="32"/>
        </w:rPr>
        <w:t xml:space="preserve">      </w:t>
      </w:r>
      <w:r w:rsidRPr="00BE58F4">
        <w:rPr>
          <w:sz w:val="32"/>
          <w:szCs w:val="32"/>
        </w:rPr>
        <w:t>+375 44 528 20 80 А1</w:t>
      </w:r>
    </w:p>
    <w:sectPr w:rsidR="00A575E4" w:rsidSect="00D50439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BEF4C" w14:textId="77777777" w:rsidR="00FF674A" w:rsidRDefault="00FF674A" w:rsidP="006F31ED">
      <w:pPr>
        <w:spacing w:after="0" w:line="240" w:lineRule="auto"/>
      </w:pPr>
      <w:r>
        <w:separator/>
      </w:r>
    </w:p>
  </w:endnote>
  <w:endnote w:type="continuationSeparator" w:id="0">
    <w:p w14:paraId="425BCCE5" w14:textId="77777777" w:rsidR="00FF674A" w:rsidRDefault="00FF674A" w:rsidP="006F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FAD6B" w14:textId="77777777" w:rsidR="00FF674A" w:rsidRDefault="00FF674A" w:rsidP="006F31ED">
      <w:pPr>
        <w:spacing w:after="0" w:line="240" w:lineRule="auto"/>
      </w:pPr>
      <w:r>
        <w:separator/>
      </w:r>
    </w:p>
  </w:footnote>
  <w:footnote w:type="continuationSeparator" w:id="0">
    <w:p w14:paraId="2D0E76C1" w14:textId="77777777" w:rsidR="00FF674A" w:rsidRDefault="00FF674A" w:rsidP="006F3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7D1"/>
    <w:multiLevelType w:val="multilevel"/>
    <w:tmpl w:val="CF1E3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8173AF"/>
    <w:multiLevelType w:val="multilevel"/>
    <w:tmpl w:val="C8EC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A6601D"/>
    <w:multiLevelType w:val="multilevel"/>
    <w:tmpl w:val="FB66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5B0B82"/>
    <w:multiLevelType w:val="multilevel"/>
    <w:tmpl w:val="385A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7B4BBA"/>
    <w:multiLevelType w:val="multilevel"/>
    <w:tmpl w:val="E7A8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E4"/>
    <w:rsid w:val="00560552"/>
    <w:rsid w:val="006C1967"/>
    <w:rsid w:val="006F31ED"/>
    <w:rsid w:val="00A575E4"/>
    <w:rsid w:val="00BE58F4"/>
    <w:rsid w:val="00C20E6B"/>
    <w:rsid w:val="00D5043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DED7"/>
  <w15:chartTrackingRefBased/>
  <w15:docId w15:val="{A7C459EE-0EE4-4F44-8CED-C2DC7576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8"/>
    <w:basedOn w:val="a"/>
    <w:rsid w:val="00A57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575E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57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75E4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F31E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F3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31ED"/>
  </w:style>
  <w:style w:type="paragraph" w:styleId="a8">
    <w:name w:val="footer"/>
    <w:basedOn w:val="a"/>
    <w:link w:val="a9"/>
    <w:uiPriority w:val="99"/>
    <w:unhideWhenUsed/>
    <w:rsid w:val="006F3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31ED"/>
  </w:style>
  <w:style w:type="paragraph" w:styleId="aa">
    <w:name w:val="Balloon Text"/>
    <w:basedOn w:val="a"/>
    <w:link w:val="ab"/>
    <w:uiPriority w:val="99"/>
    <w:semiHidden/>
    <w:unhideWhenUsed/>
    <w:rsid w:val="00560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0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center.by/images/Doki/Vypiska_iz_ambulatornoy_karty_pri_povtornom_new.doc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51737458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reacenter.by/images/Doki/Spravka_dlya_soprovozhdayuschego_new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acenter.by/images/Doki/Zaklyuchenie_CKRO_blank_new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TCSONINVZAV</cp:lastModifiedBy>
  <cp:revision>2</cp:revision>
  <cp:lastPrinted>2026-04-14T04:52:00Z</cp:lastPrinted>
  <dcterms:created xsi:type="dcterms:W3CDTF">2026-04-14T04:55:00Z</dcterms:created>
  <dcterms:modified xsi:type="dcterms:W3CDTF">2026-04-14T04:55:00Z</dcterms:modified>
</cp:coreProperties>
</file>